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06" w:rsidRPr="00F03C06" w:rsidRDefault="00F03C06" w:rsidP="00F03C06">
      <w:r>
        <w:t xml:space="preserve">Table S1. </w:t>
      </w:r>
      <w:r w:rsidRPr="00F03C06">
        <w:t>Primer sequence, repeat motif, fl</w:t>
      </w:r>
      <w:r>
        <w:t>uorescent label, multiplex pool and</w:t>
      </w:r>
      <w:r w:rsidRPr="00F03C06">
        <w:t xml:space="preserve"> </w:t>
      </w:r>
      <w:proofErr w:type="spellStart"/>
      <w:r w:rsidRPr="00F03C06">
        <w:t>amplicon</w:t>
      </w:r>
      <w:proofErr w:type="spellEnd"/>
      <w:r w:rsidRPr="00F03C06">
        <w:t xml:space="preserve"> size</w:t>
      </w:r>
      <w:r>
        <w:t xml:space="preserve"> </w:t>
      </w:r>
      <w:r w:rsidRPr="00F03C06">
        <w:t xml:space="preserve">for </w:t>
      </w:r>
      <w:r w:rsidR="00DA2F6E">
        <w:t xml:space="preserve">the monomorphic </w:t>
      </w:r>
      <w:proofErr w:type="spellStart"/>
      <w:r w:rsidRPr="00F03C06">
        <w:rPr>
          <w:i/>
        </w:rPr>
        <w:t>Ambystoma</w:t>
      </w:r>
      <w:proofErr w:type="spellEnd"/>
      <w:r w:rsidRPr="00F03C06">
        <w:rPr>
          <w:i/>
        </w:rPr>
        <w:t xml:space="preserve"> </w:t>
      </w:r>
      <w:proofErr w:type="spellStart"/>
      <w:r w:rsidRPr="00F03C06">
        <w:rPr>
          <w:i/>
        </w:rPr>
        <w:t>maculatum</w:t>
      </w:r>
      <w:proofErr w:type="spellEnd"/>
      <w:r>
        <w:rPr>
          <w:i/>
        </w:rPr>
        <w:t xml:space="preserve"> </w:t>
      </w:r>
      <w:r>
        <w:t>locus Am_60.</w:t>
      </w:r>
    </w:p>
    <w:tbl>
      <w:tblPr>
        <w:tblW w:w="7909" w:type="dxa"/>
        <w:tblLook w:val="04A0" w:firstRow="1" w:lastRow="0" w:firstColumn="1" w:lastColumn="0" w:noHBand="0" w:noVBand="1"/>
      </w:tblPr>
      <w:tblGrid>
        <w:gridCol w:w="960"/>
        <w:gridCol w:w="2989"/>
        <w:gridCol w:w="900"/>
        <w:gridCol w:w="990"/>
        <w:gridCol w:w="1170"/>
        <w:gridCol w:w="900"/>
      </w:tblGrid>
      <w:tr w:rsidR="00DA2F6E" w:rsidRPr="00F03C06" w:rsidTr="00DA2F6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Primer sequence 5' to 3'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Motif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Label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Multiplex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Size</w:t>
            </w:r>
          </w:p>
        </w:tc>
      </w:tr>
      <w:tr w:rsidR="00DA2F6E" w:rsidRPr="00F03C06" w:rsidTr="00DA2F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03C06">
              <w:rPr>
                <w:rFonts w:ascii="Calibri" w:eastAsia="Times New Roman" w:hAnsi="Calibri" w:cs="Times New Roman"/>
                <w:i/>
                <w:iCs/>
                <w:color w:val="000000"/>
              </w:rPr>
              <w:t>Am_60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F: ATGTGTATCACCCACCGTGC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84–84</w:t>
            </w:r>
          </w:p>
        </w:tc>
      </w:tr>
      <w:tr w:rsidR="00DA2F6E" w:rsidRPr="00F03C06" w:rsidTr="00DA2F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3C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R: TCTGAGGTTCCTAGAGGGTTGG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6E" w:rsidRPr="00F03C06" w:rsidRDefault="00DA2F6E" w:rsidP="00F03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F03C06" w:rsidRDefault="00F03C06" w:rsidP="008C5817"/>
    <w:p w:rsidR="00F03C06" w:rsidRDefault="00F03C06" w:rsidP="008C5817">
      <w:r>
        <w:br w:type="page"/>
      </w:r>
    </w:p>
    <w:p w:rsidR="008C5817" w:rsidRPr="008C5817" w:rsidRDefault="00FA3CB2" w:rsidP="008C5817">
      <w:r>
        <w:lastRenderedPageBreak/>
        <w:t>Table</w:t>
      </w:r>
      <w:r w:rsidR="00DD53AE">
        <w:t xml:space="preserve"> S</w:t>
      </w:r>
      <w:r w:rsidR="00F03C06">
        <w:t>2</w:t>
      </w:r>
      <w:r w:rsidR="00DD53AE">
        <w:t>.</w:t>
      </w:r>
      <w:r w:rsidR="008C5817">
        <w:t xml:space="preserve"> Summary table of </w:t>
      </w:r>
      <w:proofErr w:type="spellStart"/>
      <w:r w:rsidR="008C5817">
        <w:rPr>
          <w:i/>
        </w:rPr>
        <w:t>Ambystoma</w:t>
      </w:r>
      <w:proofErr w:type="spellEnd"/>
      <w:r w:rsidR="008C5817">
        <w:rPr>
          <w:i/>
        </w:rPr>
        <w:t xml:space="preserve"> </w:t>
      </w:r>
      <w:proofErr w:type="spellStart"/>
      <w:r w:rsidR="008C5817">
        <w:rPr>
          <w:i/>
        </w:rPr>
        <w:t>maculatum</w:t>
      </w:r>
      <w:proofErr w:type="spellEnd"/>
      <w:r w:rsidR="008C5817">
        <w:t xml:space="preserve"> microsatellites. A</w:t>
      </w:r>
      <w:r w:rsidR="008C5817" w:rsidRPr="008C5817">
        <w:rPr>
          <w:vertAlign w:val="subscript"/>
        </w:rPr>
        <w:t>R</w:t>
      </w:r>
      <w:r w:rsidR="008C5817">
        <w:t xml:space="preserve"> is the rarefied allelic richness.</w:t>
      </w: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900"/>
        <w:gridCol w:w="900"/>
        <w:gridCol w:w="990"/>
        <w:gridCol w:w="900"/>
        <w:gridCol w:w="885"/>
      </w:tblGrid>
      <w:tr w:rsidR="00DD53AE" w:rsidTr="00DD53AE">
        <w:trPr>
          <w:trHeight w:val="36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Locus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Alleles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vertAlign w:val="subscript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</w:t>
            </w:r>
            <w:r>
              <w:rPr>
                <w:rFonts w:ascii="Calibri" w:hAnsi="Calibri"/>
                <w:b/>
                <w:bCs/>
                <w:color w:val="000000"/>
                <w:vertAlign w:val="subscript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</w:t>
            </w:r>
            <w:r>
              <w:rPr>
                <w:rFonts w:ascii="Calibri" w:hAnsi="Calibri"/>
                <w:b/>
                <w:bCs/>
                <w:color w:val="000000"/>
                <w:vertAlign w:val="subscript"/>
              </w:rPr>
              <w:t>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b/>
                <w:bCs/>
                <w:color w:val="000000"/>
              </w:rPr>
            </w:pPr>
            <w:r w:rsidRPr="00440FB4">
              <w:rPr>
                <w:rFonts w:ascii="Calibri" w:hAnsi="Calibri"/>
                <w:b/>
                <w:bCs/>
                <w:i/>
                <w:color w:val="000000"/>
              </w:rPr>
              <w:t>F</w:t>
            </w:r>
            <w:r>
              <w:rPr>
                <w:rFonts w:ascii="Calibri" w:hAnsi="Calibri"/>
                <w:b/>
                <w:bCs/>
                <w:color w:val="000000"/>
                <w:vertAlign w:val="subscript"/>
              </w:rPr>
              <w:t>IS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0.117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-0.010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-0.022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0.145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-0.007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0.067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-0.102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-0.027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Pr="00440FB4" w:rsidRDefault="00DD53AE">
            <w:pPr>
              <w:rPr>
                <w:rFonts w:ascii="Calibri" w:hAnsi="Calibri"/>
                <w:i/>
                <w:color w:val="000000"/>
              </w:rPr>
            </w:pPr>
            <w:r w:rsidRPr="00440FB4">
              <w:rPr>
                <w:rFonts w:ascii="Calibri" w:hAnsi="Calibri" w:cs="LucidaGrande"/>
                <w:i/>
                <w:color w:val="000000"/>
              </w:rPr>
              <w:t>Am_37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-0.021</w:t>
            </w:r>
          </w:p>
        </w:tc>
      </w:tr>
      <w:tr w:rsidR="00DD53AE" w:rsidTr="00DD53A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3AE" w:rsidRDefault="00DD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</w:tr>
    </w:tbl>
    <w:p w:rsidR="00DD53AE" w:rsidRDefault="00DD53AE">
      <w:r>
        <w:t xml:space="preserve"> </w:t>
      </w:r>
      <w:r>
        <w:br w:type="page"/>
      </w:r>
    </w:p>
    <w:p w:rsidR="00DD53AE" w:rsidRDefault="00DD53AE">
      <w:pPr>
        <w:sectPr w:rsidR="00DD53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1F55" w:rsidRDefault="00FA3CB2">
      <w:r>
        <w:lastRenderedPageBreak/>
        <w:t>Table</w:t>
      </w:r>
      <w:r w:rsidR="00DD53AE">
        <w:t xml:space="preserve"> S</w:t>
      </w:r>
      <w:r w:rsidR="00F03C06">
        <w:t>3</w:t>
      </w:r>
      <w:r w:rsidR="00DD53AE">
        <w:t>.</w:t>
      </w:r>
      <w:r w:rsidR="00171F55" w:rsidRPr="00171F55">
        <w:t xml:space="preserve"> </w:t>
      </w:r>
      <w:r w:rsidR="008C5817">
        <w:t xml:space="preserve">Pairwise distances among </w:t>
      </w:r>
      <w:proofErr w:type="spellStart"/>
      <w:r w:rsidR="008C5817">
        <w:rPr>
          <w:i/>
        </w:rPr>
        <w:t>Ambystoma</w:t>
      </w:r>
      <w:proofErr w:type="spellEnd"/>
      <w:r w:rsidR="008C5817">
        <w:rPr>
          <w:i/>
        </w:rPr>
        <w:t xml:space="preserve"> </w:t>
      </w:r>
      <w:proofErr w:type="spellStart"/>
      <w:r w:rsidR="008C5817">
        <w:rPr>
          <w:i/>
        </w:rPr>
        <w:t>maculatum</w:t>
      </w:r>
      <w:proofErr w:type="spellEnd"/>
      <w:r w:rsidR="008C5817">
        <w:t xml:space="preserve"> ponds. </w:t>
      </w:r>
      <w:r w:rsidR="008C5817" w:rsidRPr="00440FB4">
        <w:rPr>
          <w:i/>
        </w:rPr>
        <w:t>F</w:t>
      </w:r>
      <w:r w:rsidR="008C5817">
        <w:t>’</w:t>
      </w:r>
      <w:r w:rsidR="008C5817" w:rsidRPr="008C5817">
        <w:rPr>
          <w:vertAlign w:val="subscript"/>
        </w:rPr>
        <w:t>ST</w:t>
      </w:r>
      <w:r w:rsidR="008C5817">
        <w:t xml:space="preserve"> is in the lower triangle and Euclidean distance (meters) is in the upper triangle.</w:t>
      </w:r>
    </w:p>
    <w:p w:rsidR="0015559E" w:rsidRPr="008C5817" w:rsidRDefault="0015559E">
      <w:r w:rsidRPr="0015559E">
        <w:rPr>
          <w:noProof/>
        </w:rPr>
        <w:drawing>
          <wp:inline distT="0" distB="0" distL="0" distR="0" wp14:anchorId="396FF956" wp14:editId="17BD28DE">
            <wp:extent cx="8229600" cy="2877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7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17" w:rsidRDefault="008C5817"/>
    <w:p w:rsidR="00DD53AE" w:rsidRDefault="00DD53AE"/>
    <w:p w:rsidR="00171F55" w:rsidRDefault="00171F55"/>
    <w:p w:rsidR="00DD53AE" w:rsidRDefault="00171F55">
      <w:r>
        <w:t xml:space="preserve"> </w:t>
      </w:r>
      <w:r w:rsidR="00DD53AE">
        <w:br w:type="page"/>
      </w:r>
    </w:p>
    <w:p w:rsidR="00DD53AE" w:rsidRDefault="00DD53AE">
      <w:pPr>
        <w:sectPr w:rsidR="00DD53AE" w:rsidSect="00DD53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D53AE" w:rsidRDefault="00FA3CB2">
      <w:r>
        <w:lastRenderedPageBreak/>
        <w:t>Table</w:t>
      </w:r>
      <w:r w:rsidR="00F03C06">
        <w:t xml:space="preserve"> S4</w:t>
      </w:r>
      <w:r w:rsidR="00DD53AE">
        <w:t>.</w:t>
      </w:r>
      <w:r w:rsidR="00171F55">
        <w:t xml:space="preserve"> Summary table of </w:t>
      </w:r>
      <w:proofErr w:type="spellStart"/>
      <w:r w:rsidR="00171F55">
        <w:rPr>
          <w:i/>
        </w:rPr>
        <w:t>Ambystoma</w:t>
      </w:r>
      <w:proofErr w:type="spellEnd"/>
      <w:r w:rsidR="00171F55">
        <w:rPr>
          <w:i/>
        </w:rPr>
        <w:t xml:space="preserve"> annulatum</w:t>
      </w:r>
      <w:r w:rsidR="00171F55">
        <w:t xml:space="preserve"> microsatellites</w:t>
      </w:r>
      <w:r w:rsidR="008C5817">
        <w:t>. A</w:t>
      </w:r>
      <w:r w:rsidR="008C5817" w:rsidRPr="008C5817">
        <w:rPr>
          <w:vertAlign w:val="subscript"/>
        </w:rPr>
        <w:t>R</w:t>
      </w:r>
      <w:r w:rsidR="008C5817">
        <w:t xml:space="preserve"> is the rarefied allelic richness.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057"/>
        <w:gridCol w:w="960"/>
        <w:gridCol w:w="960"/>
        <w:gridCol w:w="960"/>
        <w:gridCol w:w="960"/>
        <w:gridCol w:w="960"/>
      </w:tblGrid>
      <w:tr w:rsidR="008140AF" w:rsidRPr="008140AF" w:rsidTr="008140A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</w:rPr>
              <w:t>Locus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</w:rPr>
              <w:t>Alleles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r w:rsidRPr="008140AF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IS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Aa_37*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2.971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0.312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2.362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0.129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4.910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0.020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5.399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4.343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0.024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3.987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-0.001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2.527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-0.018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2.835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0.035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1.606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0.059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2.788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0.056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Aa_45*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1.503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0.327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2.404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-0.020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3.130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0.220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3.684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-0.002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3.859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4.878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0.020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2.116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0.055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2.341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0.449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440FB4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0FB4">
              <w:rPr>
                <w:rFonts w:ascii="Calibri" w:eastAsia="Times New Roman" w:hAnsi="Calibri" w:cs="Times New Roman"/>
                <w:i/>
                <w:color w:val="000000"/>
              </w:rPr>
              <w:t>Aa_258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2.142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0.064</w:t>
            </w:r>
          </w:p>
        </w:tc>
      </w:tr>
      <w:tr w:rsidR="008140AF" w:rsidRPr="008140AF" w:rsidTr="008140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Average†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7.47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3.323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AF" w:rsidRPr="008140AF" w:rsidRDefault="008140AF" w:rsidP="0081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0AF">
              <w:rPr>
                <w:rFonts w:ascii="Calibri" w:eastAsia="Times New Roman" w:hAnsi="Calibri" w:cs="Times New Roman"/>
                <w:color w:val="000000"/>
              </w:rPr>
              <w:t>0.037</w:t>
            </w:r>
          </w:p>
        </w:tc>
      </w:tr>
    </w:tbl>
    <w:p w:rsidR="00DD53AE" w:rsidRDefault="00171F55">
      <w:r>
        <w:t>* Locus significantly deviated from HWE expectation and omitted from downstream analyses</w:t>
      </w:r>
    </w:p>
    <w:p w:rsidR="008C5817" w:rsidRDefault="00171F55">
      <w:pPr>
        <w:rPr>
          <w:rFonts w:ascii="Calibri" w:eastAsia="Times New Roman" w:hAnsi="Calibri" w:cs="Times New Roman"/>
          <w:color w:val="000000"/>
        </w:rPr>
      </w:pPr>
      <w:r w:rsidRPr="00171F55">
        <w:rPr>
          <w:rFonts w:ascii="Calibri" w:eastAsia="Times New Roman" w:hAnsi="Calibri" w:cs="Times New Roman"/>
          <w:color w:val="000000"/>
        </w:rPr>
        <w:t>†</w:t>
      </w:r>
      <w:r w:rsidR="008C5817">
        <w:rPr>
          <w:rFonts w:ascii="Calibri" w:eastAsia="Times New Roman" w:hAnsi="Calibri" w:cs="Times New Roman"/>
          <w:color w:val="000000"/>
        </w:rPr>
        <w:t xml:space="preserve"> Calculated without loci that deviated from HWE expectation</w:t>
      </w:r>
      <w:r w:rsidR="008C5817">
        <w:rPr>
          <w:rFonts w:ascii="Calibri" w:eastAsia="Times New Roman" w:hAnsi="Calibri" w:cs="Times New Roman"/>
          <w:color w:val="000000"/>
        </w:rPr>
        <w:br w:type="page"/>
      </w:r>
    </w:p>
    <w:p w:rsidR="008C5817" w:rsidRPr="008C5817" w:rsidRDefault="00FA3CB2" w:rsidP="008C5817">
      <w:r>
        <w:lastRenderedPageBreak/>
        <w:t>Table</w:t>
      </w:r>
      <w:r w:rsidR="008C5817">
        <w:t xml:space="preserve"> S</w:t>
      </w:r>
      <w:r w:rsidR="00F03C06">
        <w:t>5</w:t>
      </w:r>
      <w:r w:rsidR="008C5817">
        <w:t>.</w:t>
      </w:r>
      <w:r w:rsidR="008C5817" w:rsidRPr="00171F55">
        <w:t xml:space="preserve"> </w:t>
      </w:r>
      <w:r w:rsidR="008C5817">
        <w:t xml:space="preserve">Pairwise distances among </w:t>
      </w:r>
      <w:proofErr w:type="spellStart"/>
      <w:r w:rsidR="008C5817">
        <w:rPr>
          <w:i/>
        </w:rPr>
        <w:t>Ambystoma</w:t>
      </w:r>
      <w:proofErr w:type="spellEnd"/>
      <w:r w:rsidR="008C5817">
        <w:rPr>
          <w:i/>
        </w:rPr>
        <w:t xml:space="preserve"> annulatum</w:t>
      </w:r>
      <w:r w:rsidR="008C5817">
        <w:t xml:space="preserve"> ponds. </w:t>
      </w:r>
      <w:r w:rsidR="008C5817" w:rsidRPr="00440FB4">
        <w:rPr>
          <w:i/>
        </w:rPr>
        <w:t>F</w:t>
      </w:r>
      <w:r w:rsidR="008C5817">
        <w:t>’</w:t>
      </w:r>
      <w:r w:rsidR="008C5817" w:rsidRPr="008C5817">
        <w:rPr>
          <w:vertAlign w:val="subscript"/>
        </w:rPr>
        <w:t>ST</w:t>
      </w:r>
      <w:r w:rsidR="008C5817">
        <w:t xml:space="preserve"> is in the lower triangle and Euclidean distance (meters) is in the upper triangle.</w:t>
      </w:r>
    </w:p>
    <w:p w:rsidR="00FA3CB2" w:rsidRDefault="0015559E">
      <w:r w:rsidRPr="0015559E">
        <w:rPr>
          <w:noProof/>
        </w:rPr>
        <w:drawing>
          <wp:inline distT="0" distB="0" distL="0" distR="0" wp14:anchorId="5C31F91C" wp14:editId="042E97DE">
            <wp:extent cx="8229600" cy="2577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5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CB2">
        <w:br w:type="page"/>
      </w:r>
    </w:p>
    <w:p w:rsidR="00FA3CB2" w:rsidRDefault="00FA3CB2">
      <w:pPr>
        <w:rPr>
          <w:b/>
        </w:rPr>
        <w:sectPr w:rsidR="00FA3CB2" w:rsidSect="008C581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26910" w:rsidRDefault="00F26910" w:rsidP="00F26910">
      <w:r w:rsidRPr="00F03C06">
        <w:lastRenderedPageBreak/>
        <w:t>Table S</w:t>
      </w:r>
      <w:r>
        <w:t>6</w:t>
      </w:r>
      <w:r w:rsidRPr="00F03C06">
        <w:t>.</w:t>
      </w:r>
      <w:r>
        <w:t xml:space="preserve"> Results of linear model assessing the (log</w:t>
      </w:r>
      <w:r>
        <w:rPr>
          <w:vertAlign w:val="subscript"/>
        </w:rPr>
        <w:t>10</w:t>
      </w:r>
      <w:r>
        <w:t xml:space="preserve">) distance between breeding ponds in 2012 and 2013 for </w:t>
      </w:r>
      <w:proofErr w:type="spellStart"/>
      <w:r>
        <w:rPr>
          <w:i/>
        </w:rPr>
        <w:t>Ambystoma</w:t>
      </w:r>
      <w:proofErr w:type="spellEnd"/>
      <w:r>
        <w:rPr>
          <w:i/>
        </w:rPr>
        <w:t xml:space="preserve"> annulatum</w:t>
      </w:r>
      <w:r>
        <w:t xml:space="preserve"> and </w:t>
      </w:r>
      <w:r>
        <w:rPr>
          <w:i/>
        </w:rPr>
        <w:t xml:space="preserve">A. </w:t>
      </w:r>
      <w:proofErr w:type="spellStart"/>
      <w:r>
        <w:rPr>
          <w:i/>
        </w:rPr>
        <w:t>maculatum</w:t>
      </w:r>
      <w:proofErr w:type="spellEnd"/>
      <w:r>
        <w:t>.</w:t>
      </w: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  <w:gridCol w:w="960"/>
      </w:tblGrid>
      <w:tr w:rsidR="00F26910" w:rsidRPr="007D0E2E" w:rsidTr="0076342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Pr="007D0E2E" w:rsidRDefault="00F26910" w:rsidP="0076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D0E2E">
              <w:rPr>
                <w:rFonts w:ascii="Calibri" w:eastAsia="Times New Roman" w:hAnsi="Calibri" w:cs="Times New Roman"/>
                <w:b/>
                <w:bCs/>
              </w:rPr>
              <w:t>Parameter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910" w:rsidRPr="007D0E2E" w:rsidRDefault="00F26910" w:rsidP="0076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0E2E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910" w:rsidRPr="007D0E2E" w:rsidRDefault="00F26910" w:rsidP="0076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0E2E">
              <w:rPr>
                <w:rFonts w:ascii="Calibri" w:eastAsia="Times New Roman" w:hAnsi="Calibri" w:cs="Times New Roman"/>
                <w:b/>
                <w:bCs/>
                <w:color w:val="000000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910" w:rsidRPr="007D0E2E" w:rsidRDefault="00F26910" w:rsidP="0076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0E2E">
              <w:rPr>
                <w:rFonts w:ascii="Calibri" w:eastAsia="Times New Roman" w:hAnsi="Calibri" w:cs="Times New Roman"/>
                <w:b/>
                <w:bCs/>
                <w:color w:val="000000"/>
              </w:rPr>
              <w:t>t-value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910" w:rsidRPr="007D0E2E" w:rsidRDefault="00F26910" w:rsidP="0076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0E2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</w:tr>
      <w:tr w:rsidR="00F26910" w:rsidRPr="007D0E2E" w:rsidTr="0076342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&lt;0.0001</w:t>
            </w:r>
          </w:p>
        </w:tc>
      </w:tr>
      <w:tr w:rsidR="00F26910" w:rsidRPr="007D0E2E" w:rsidTr="0076342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(2013)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0.3207</w:t>
            </w:r>
          </w:p>
        </w:tc>
      </w:tr>
      <w:tr w:rsidR="00F26910" w:rsidRPr="007D0E2E" w:rsidTr="0076342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Species (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maculatum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0.0143</w:t>
            </w:r>
          </w:p>
        </w:tc>
      </w:tr>
      <w:tr w:rsidR="00F26910" w:rsidRPr="007D0E2E" w:rsidTr="0076342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Year*Species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910" w:rsidRDefault="00F26910" w:rsidP="00763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0.0109</w:t>
            </w:r>
          </w:p>
        </w:tc>
      </w:tr>
    </w:tbl>
    <w:p w:rsidR="00F26910" w:rsidRDefault="00F26910" w:rsidP="00F26910">
      <w:pPr>
        <w:rPr>
          <w:b/>
        </w:rPr>
      </w:pPr>
      <w:r>
        <w:rPr>
          <w:b/>
        </w:rPr>
        <w:br w:type="page"/>
      </w:r>
    </w:p>
    <w:p w:rsidR="00171F55" w:rsidRDefault="00FA3CB2">
      <w:bookmarkStart w:id="0" w:name="_GoBack"/>
      <w:bookmarkEnd w:id="0"/>
      <w:r w:rsidRPr="00F03C06">
        <w:lastRenderedPageBreak/>
        <w:t>Table S</w:t>
      </w:r>
      <w:r w:rsidR="00F26910">
        <w:t>7</w:t>
      </w:r>
      <w:r w:rsidRPr="00F03C06">
        <w:t>.</w:t>
      </w:r>
      <w:r>
        <w:t xml:space="preserve"> Parameter estimates and 95% confidence intervals of mixed effects models assessing isolation</w:t>
      </w:r>
      <w:r w:rsidR="009D4F37">
        <w:t>-</w:t>
      </w:r>
      <w:r>
        <w:t>by</w:t>
      </w:r>
      <w:r w:rsidR="009D4F37">
        <w:t>-</w:t>
      </w:r>
      <w:r>
        <w:t>distance.</w:t>
      </w:r>
    </w:p>
    <w:tbl>
      <w:tblPr>
        <w:tblW w:w="5865" w:type="dxa"/>
        <w:tblInd w:w="93" w:type="dxa"/>
        <w:tblLook w:val="04A0" w:firstRow="1" w:lastRow="0" w:firstColumn="1" w:lastColumn="0" w:noHBand="0" w:noVBand="1"/>
      </w:tblPr>
      <w:tblGrid>
        <w:gridCol w:w="1672"/>
        <w:gridCol w:w="718"/>
        <w:gridCol w:w="1225"/>
        <w:gridCol w:w="1260"/>
        <w:gridCol w:w="990"/>
      </w:tblGrid>
      <w:tr w:rsidR="00FA3CB2" w:rsidRPr="00FA3CB2" w:rsidTr="00FA3CB2">
        <w:trPr>
          <w:trHeight w:val="255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FA3C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FA3CB2">
              <w:rPr>
                <w:rFonts w:eastAsia="Times New Roman" w:cs="Times New Roman"/>
                <w:i/>
                <w:iCs/>
                <w:color w:val="000000"/>
              </w:rPr>
              <w:t>A. annulatum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FA3C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FA3C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FA3C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CB2" w:rsidRPr="00FA3CB2" w:rsidTr="00FA3CB2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</w:rPr>
            </w:pPr>
            <w:r w:rsidRPr="00FA3CB2">
              <w:rPr>
                <w:rFonts w:eastAsia="Times New Roman" w:cs="Times New Roman"/>
                <w:b/>
                <w:i/>
                <w:i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A3CB2">
              <w:rPr>
                <w:rFonts w:eastAsia="Times New Roman" w:cs="Times New Roman"/>
                <w:b/>
                <w:color w:val="000000"/>
              </w:rPr>
              <w:t>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A3CB2">
              <w:rPr>
                <w:rFonts w:eastAsia="Times New Roman" w:cs="Times New Roman"/>
                <w:b/>
                <w:color w:val="000000"/>
              </w:rPr>
              <w:t>Lower C.I.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A3CB2">
              <w:rPr>
                <w:rFonts w:eastAsia="Times New Roman" w:cs="Times New Roman"/>
                <w:b/>
                <w:color w:val="000000"/>
              </w:rPr>
              <w:t>Upper C.I.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A3CB2">
              <w:rPr>
                <w:rFonts w:eastAsia="Times New Roman" w:cs="Times New Roman"/>
                <w:b/>
                <w:color w:val="000000"/>
              </w:rPr>
              <w:t>t-value</w:t>
            </w:r>
          </w:p>
        </w:tc>
      </w:tr>
      <w:tr w:rsidR="00FA3CB2" w:rsidRPr="00FA3CB2" w:rsidTr="00FA3CB2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0.060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4.300</w:t>
            </w:r>
          </w:p>
        </w:tc>
      </w:tr>
      <w:tr w:rsidR="00FA3CB2" w:rsidRPr="00FA3CB2" w:rsidTr="00FA3CB2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Distance (km)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10.390</w:t>
            </w:r>
          </w:p>
        </w:tc>
      </w:tr>
      <w:tr w:rsidR="00FA3CB2" w:rsidRPr="00FA3CB2" w:rsidTr="00FA3CB2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CB2" w:rsidRPr="00FA3CB2" w:rsidTr="00FA3CB2">
        <w:trPr>
          <w:trHeight w:val="255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FA3CB2">
              <w:rPr>
                <w:rFonts w:eastAsia="Times New Roman" w:cs="Times New Roman"/>
                <w:i/>
                <w:iCs/>
                <w:color w:val="000000"/>
              </w:rPr>
              <w:t>A. maculatum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CB2" w:rsidRPr="00FA3CB2" w:rsidTr="00FA3CB2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</w:rPr>
            </w:pPr>
            <w:r w:rsidRPr="00FA3CB2">
              <w:rPr>
                <w:rFonts w:eastAsia="Times New Roman" w:cs="Times New Roman"/>
                <w:b/>
                <w:i/>
                <w:i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A3CB2">
              <w:rPr>
                <w:rFonts w:eastAsia="Times New Roman" w:cs="Times New Roman"/>
                <w:b/>
                <w:color w:val="000000"/>
              </w:rPr>
              <w:t>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A3CB2">
              <w:rPr>
                <w:rFonts w:eastAsia="Times New Roman" w:cs="Times New Roman"/>
                <w:b/>
                <w:color w:val="000000"/>
              </w:rPr>
              <w:t>Lower C.I.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A3CB2">
              <w:rPr>
                <w:rFonts w:eastAsia="Times New Roman" w:cs="Times New Roman"/>
                <w:b/>
                <w:color w:val="000000"/>
              </w:rPr>
              <w:t>Upper C.I.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A3CB2">
              <w:rPr>
                <w:rFonts w:eastAsia="Times New Roman" w:cs="Times New Roman"/>
                <w:b/>
                <w:color w:val="000000"/>
              </w:rPr>
              <w:t>t-value</w:t>
            </w:r>
          </w:p>
        </w:tc>
      </w:tr>
      <w:tr w:rsidR="00FA3CB2" w:rsidRPr="00FA3CB2" w:rsidTr="00FA3CB2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0.026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2.701</w:t>
            </w:r>
          </w:p>
        </w:tc>
      </w:tr>
      <w:tr w:rsidR="00FA3CB2" w:rsidRPr="00FA3CB2" w:rsidTr="00FA3CB2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Distance (km)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B2" w:rsidRPr="00FA3CB2" w:rsidRDefault="00FA3CB2" w:rsidP="007A33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3CB2">
              <w:rPr>
                <w:rFonts w:eastAsia="Times New Roman" w:cs="Times New Roman"/>
                <w:color w:val="000000"/>
              </w:rPr>
              <w:t>8.068</w:t>
            </w:r>
          </w:p>
        </w:tc>
      </w:tr>
    </w:tbl>
    <w:p w:rsidR="000679C9" w:rsidRDefault="000679C9">
      <w:r>
        <w:br w:type="page"/>
      </w:r>
    </w:p>
    <w:p w:rsidR="000679C9" w:rsidRPr="00E36BF8" w:rsidRDefault="001D5DBE">
      <w:r w:rsidRPr="00F03C06">
        <w:lastRenderedPageBreak/>
        <w:t>Table S</w:t>
      </w:r>
      <w:r w:rsidR="00F03C06" w:rsidRPr="00F03C06">
        <w:t>8</w:t>
      </w:r>
      <w:r w:rsidRPr="00F03C06">
        <w:t>.</w:t>
      </w:r>
      <w:r>
        <w:rPr>
          <w:b/>
        </w:rPr>
        <w:t xml:space="preserve"> </w:t>
      </w:r>
      <w:r w:rsidR="00E36BF8">
        <w:t xml:space="preserve">Results of linear models fit to determine whether pond characteristics alone, isolation alone, or both </w:t>
      </w:r>
      <w:r w:rsidR="00761D45">
        <w:t>pond</w:t>
      </w:r>
      <w:r w:rsidR="00E36BF8">
        <w:t xml:space="preserve"> characteristics and isolation best explained genetic differentiation. For both species, isolation was the best supported model based on </w:t>
      </w:r>
      <w:proofErr w:type="spellStart"/>
      <w:r w:rsidR="00E36BF8">
        <w:t>AIC</w:t>
      </w:r>
      <w:r w:rsidR="00E36BF8" w:rsidRPr="00E36BF8">
        <w:rPr>
          <w:vertAlign w:val="subscript"/>
        </w:rPr>
        <w:t>c</w:t>
      </w:r>
      <w:proofErr w:type="spellEnd"/>
      <w:r w:rsidR="00E36BF8">
        <w:t xml:space="preserve"> (see Table 4, main text).</w:t>
      </w:r>
    </w:p>
    <w:tbl>
      <w:tblPr>
        <w:tblW w:w="6360" w:type="dxa"/>
        <w:tblInd w:w="93" w:type="dxa"/>
        <w:tblLook w:val="04A0" w:firstRow="1" w:lastRow="0" w:firstColumn="1" w:lastColumn="0" w:noHBand="0" w:noVBand="1"/>
      </w:tblPr>
      <w:tblGrid>
        <w:gridCol w:w="500"/>
        <w:gridCol w:w="222"/>
        <w:gridCol w:w="2047"/>
        <w:gridCol w:w="941"/>
        <w:gridCol w:w="960"/>
        <w:gridCol w:w="960"/>
        <w:gridCol w:w="960"/>
      </w:tblGrid>
      <w:tr w:rsidR="001D5DBE" w:rsidRPr="001D5DBE" w:rsidTr="001D5DB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1D5DBE">
              <w:rPr>
                <w:rFonts w:eastAsia="Times New Roman" w:cs="Times New Roman"/>
                <w:i/>
                <w:iCs/>
                <w:color w:val="000000"/>
              </w:rPr>
              <w:t>A. annulatum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Pond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t-value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0.06023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0.05722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1.053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0.315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Predator richness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9.472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7.654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1.237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0.242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Ponds within 300m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1.861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3.256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0.579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Percent forest 300m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0.678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Isolation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t-value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13.443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Isolation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-3.059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0.009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Both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t-value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2.392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0.038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Isolation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-2.653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0.024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Predator richness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3.676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6.527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0.586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Ponds within 300m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-1.165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2.854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-0.408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0.692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Percent forest 300m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0.693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1D5DBE">
              <w:rPr>
                <w:rFonts w:eastAsia="Times New Roman" w:cs="Times New Roman"/>
                <w:i/>
                <w:iCs/>
                <w:color w:val="000000"/>
              </w:rPr>
              <w:t>A. maculatum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 xml:space="preserve">Pond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t-value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1.349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0.194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Percent forest 300m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-0.136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0.893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Percent canopy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0.553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Isolation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t-value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10.452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Isolation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-4.884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Both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t-value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D5DBE">
              <w:rPr>
                <w:rFonts w:eastAsia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4.712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Isolation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-5.111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Percent forest 300m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-0.575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-1.545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0.141</w:t>
            </w:r>
          </w:p>
        </w:tc>
      </w:tr>
      <w:tr w:rsidR="001D5DBE" w:rsidRPr="001D5DBE" w:rsidTr="001D5DBE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D5DBE" w:rsidRPr="001D5DBE" w:rsidRDefault="001D5DBE" w:rsidP="001D5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Percent canopy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BE" w:rsidRPr="001D5DBE" w:rsidRDefault="001D5DBE" w:rsidP="001D5D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D5DBE">
              <w:rPr>
                <w:rFonts w:eastAsia="Times New Roman" w:cs="Times New Roman"/>
                <w:color w:val="000000"/>
              </w:rPr>
              <w:t>0.722</w:t>
            </w:r>
          </w:p>
        </w:tc>
      </w:tr>
    </w:tbl>
    <w:p w:rsidR="001D5DBE" w:rsidRDefault="001D5DBE">
      <w:pPr>
        <w:rPr>
          <w:b/>
        </w:rPr>
      </w:pPr>
    </w:p>
    <w:p w:rsidR="001D5DBE" w:rsidRPr="000679C9" w:rsidRDefault="001D5DBE">
      <w:pPr>
        <w:rPr>
          <w:b/>
        </w:rPr>
      </w:pPr>
    </w:p>
    <w:sectPr w:rsidR="001D5DBE" w:rsidRPr="000679C9" w:rsidSect="00FA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E"/>
    <w:rsid w:val="000679C9"/>
    <w:rsid w:val="00142832"/>
    <w:rsid w:val="0015559E"/>
    <w:rsid w:val="00171F55"/>
    <w:rsid w:val="001D5DBE"/>
    <w:rsid w:val="00440FB4"/>
    <w:rsid w:val="00761D45"/>
    <w:rsid w:val="007929D6"/>
    <w:rsid w:val="007A33E4"/>
    <w:rsid w:val="007D0E2E"/>
    <w:rsid w:val="008140AF"/>
    <w:rsid w:val="008908BE"/>
    <w:rsid w:val="008C5817"/>
    <w:rsid w:val="0096769C"/>
    <w:rsid w:val="009D4F37"/>
    <w:rsid w:val="00DA2F6E"/>
    <w:rsid w:val="00DD53AE"/>
    <w:rsid w:val="00E36BF8"/>
    <w:rsid w:val="00EB0331"/>
    <w:rsid w:val="00F03C06"/>
    <w:rsid w:val="00F26910"/>
    <w:rsid w:val="00F673A9"/>
    <w:rsid w:val="00F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B2BC6-7E7F-4BC1-B381-E205593F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Peterman</cp:lastModifiedBy>
  <cp:revision>4</cp:revision>
  <dcterms:created xsi:type="dcterms:W3CDTF">2014-07-09T13:28:00Z</dcterms:created>
  <dcterms:modified xsi:type="dcterms:W3CDTF">2014-07-11T14:39:00Z</dcterms:modified>
</cp:coreProperties>
</file>